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Title"/>
        <w:jc w:val="center"/>
      </w:pPr>
      <w:r>
        <w:rPr>
          <w:rtl w:val="0"/>
          <w:lang w:val="en-US"/>
        </w:rPr>
        <w:t>Reticula Applications</w:t>
      </w: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</w:rPr>
        <w:t>Reticula: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Very low cost per run (single sample): $1 COGS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Fast run time: &lt; 30min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Compromise on: Read length (~30bp versus 100+)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Compromise on: Error rate (~5% versus &lt;1%)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Compromise on: Throughput (1Mb versus 1.2Gb (iSeq))</w:t>
      </w: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</w:rPr>
        <w:t>“</w:t>
      </w:r>
      <w:r>
        <w:rPr>
          <w:rtl w:val="0"/>
        </w:rPr>
        <w:t xml:space="preserve">Illumina is the Ferrari, Reticula is </w:t>
      </w:r>
      <w:r>
        <w:rPr>
          <w:rtl w:val="0"/>
          <w:lang w:val="it-IT"/>
        </w:rPr>
        <w:t>Corolla</w:t>
      </w:r>
      <w:r>
        <w:rPr>
          <w:rtl w:val="0"/>
        </w:rPr>
        <w:t>”</w:t>
      </w:r>
    </w:p>
    <w:p>
      <w:pPr>
        <w:pStyle w:val="Body"/>
        <w:bidi w:val="0"/>
      </w:pPr>
      <w:r>
        <w:rPr>
          <w:rtl w:val="0"/>
        </w:rPr>
        <w:t>Ferrari: 10000 sold (2020)</w:t>
      </w:r>
    </w:p>
    <w:p>
      <w:pPr>
        <w:pStyle w:val="Body"/>
        <w:bidi w:val="0"/>
      </w:pPr>
      <w:r>
        <w:rPr>
          <w:rtl w:val="0"/>
        </w:rPr>
        <w:t>Corolla: 1.1M sold (2020)</w:t>
      </w: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</w:rPr>
        <w:t xml:space="preserve">What Reticula is </w:t>
      </w:r>
      <w:r>
        <w:rPr>
          <w:b w:val="1"/>
          <w:bCs w:val="1"/>
          <w:rtl w:val="0"/>
          <w:lang w:val="en-US"/>
        </w:rPr>
        <w:t>NOT</w:t>
      </w:r>
      <w:r>
        <w:rPr>
          <w:rtl w:val="0"/>
        </w:rPr>
        <w:t xml:space="preserve"> for: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High throughput applications: Whole genomes, large multiplexed datasets (e.g. Single Cell)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Very high accuracy applications (Q50 reads): Rare variant detection (Duplex sequencing etc.)</w:t>
      </w:r>
    </w:p>
    <w:p>
      <w:pPr>
        <w:pStyle w:val="Body"/>
        <w:bidi w:val="0"/>
      </w:pPr>
    </w:p>
    <w:p>
      <w:pPr>
        <w:pStyle w:val="Heading"/>
        <w:bidi w:val="0"/>
      </w:pPr>
      <w:r>
        <w:rPr>
          <w:rtl w:val="0"/>
        </w:rPr>
        <w:t>Diagnostics</w:t>
      </w:r>
    </w:p>
    <w:p>
      <w:pPr>
        <w:pStyle w:val="Body"/>
        <w:bidi w:val="0"/>
      </w:pPr>
    </w:p>
    <w:p>
      <w:pPr>
        <w:pStyle w:val="Heading 2"/>
        <w:bidi w:val="0"/>
      </w:pPr>
      <w:r>
        <w:rPr>
          <w:rtl w:val="0"/>
        </w:rPr>
        <w:t>NIPT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Market size (2020): $2.8B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Advantages over Illumina: Cost, speed, simpler workflow, no multiplexing.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Notes: Veriseq 1M reads per sample on Miseq, similar to Reticula single run. Error rate not significant (counting application).</w:t>
      </w:r>
    </w:p>
    <w:p>
      <w:pPr>
        <w:pStyle w:val="Body"/>
        <w:bidi w:val="0"/>
      </w:pPr>
    </w:p>
    <w:p>
      <w:pPr>
        <w:pStyle w:val="Heading 2"/>
        <w:bidi w:val="0"/>
      </w:pPr>
      <w:r>
        <w:rPr>
          <w:rtl w:val="0"/>
        </w:rPr>
        <w:t>COVID-19/Pandemic Response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Market size (2020): $84B. qPCR (67%)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Advantages over qPCR: Variant detection, detect escape variants, quick pandemic response, accuracy.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 xml:space="preserve">Advantages over Illumina: 10x cheaper, costs competitive with qPCR where Illumina is not, simpler prep., no multiplexing. direct RNA. </w:t>
      </w:r>
    </w:p>
    <w:p>
      <w:pPr>
        <w:pStyle w:val="Body"/>
        <w:bidi w:val="0"/>
      </w:pPr>
    </w:p>
    <w:p>
      <w:pPr>
        <w:pStyle w:val="Heading 2"/>
        <w:bidi w:val="0"/>
      </w:pPr>
      <w:r>
        <w:rPr>
          <w:rtl w:val="0"/>
        </w:rPr>
        <w:t>HIV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Market size (2020): $2.6B. Antigen (83%)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Advantages over Antigen: Accuracy, disease progress/variant tracking, sensitivity.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Advantages over Illumina: Cost, direct RNA, simpler prep., no multiplexing.</w:t>
      </w:r>
    </w:p>
    <w:p>
      <w:pPr>
        <w:pStyle w:val="Body"/>
        <w:bidi w:val="0"/>
      </w:pPr>
    </w:p>
    <w:p>
      <w:pPr>
        <w:pStyle w:val="Heading 2"/>
        <w:bidi w:val="0"/>
      </w:pPr>
      <w:r>
        <w:rPr>
          <w:rtl w:val="0"/>
        </w:rPr>
        <w:t>Sepsis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 xml:space="preserve">Market size (2020): </w:t>
      </w:r>
      <w:r>
        <w:rPr>
          <w:rtl w:val="0"/>
        </w:rPr>
        <w:t>$627M</w:t>
      </w:r>
      <w:r>
        <w:rPr>
          <w:rtl w:val="0"/>
        </w:rPr>
        <w:t>. Blood culture (90%)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Advantages over Blood culture: Speed, sensitivity.</w:t>
      </w:r>
    </w:p>
    <w:p>
      <w:pPr>
        <w:pStyle w:val="Body"/>
        <w:bidi w:val="0"/>
      </w:pPr>
    </w:p>
    <w:p>
      <w:pPr>
        <w:pStyle w:val="Heading 2"/>
        <w:bidi w:val="0"/>
      </w:pPr>
      <w:r>
        <w:rPr>
          <w:rtl w:val="0"/>
        </w:rPr>
        <w:t>Cancer?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$Market size: X00B+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Targeted approaches+methylation?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Antibody tag/aptamer readout.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miRNA (counting based approaches)</w:t>
      </w:r>
    </w:p>
    <w:p>
      <w:pPr>
        <w:pStyle w:val="Body"/>
        <w:bidi w:val="0"/>
      </w:pPr>
    </w:p>
    <w:p>
      <w:pPr>
        <w:pStyle w:val="Heading 2"/>
        <w:bidi w:val="0"/>
      </w:pPr>
      <w:r>
        <w:rPr>
          <w:rtl w:val="0"/>
        </w:rPr>
        <w:t>Others</w:t>
      </w: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</w:rPr>
        <w:t>UTI, Pneumonia, Strep throat, MRSA, Meningitis.</w:t>
      </w:r>
    </w:p>
    <w:p>
      <w:pPr>
        <w:pStyle w:val="Body"/>
        <w:bidi w:val="0"/>
      </w:pPr>
    </w:p>
    <w:p>
      <w:pPr>
        <w:pStyle w:val="Heading"/>
        <w:bidi w:val="0"/>
      </w:pPr>
      <w:r>
        <w:rPr>
          <w:rtl w:val="0"/>
        </w:rPr>
        <w:t>Data readout</w:t>
      </w:r>
    </w:p>
    <w:p>
      <w:pPr>
        <w:pStyle w:val="Body"/>
        <w:bidi w:val="0"/>
      </w:pPr>
    </w:p>
    <w:p>
      <w:pPr>
        <w:pStyle w:val="Heading 2"/>
        <w:bidi w:val="0"/>
      </w:pPr>
      <w:r>
        <w:rPr>
          <w:rtl w:val="0"/>
        </w:rPr>
        <w:t>Supply chain authentication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Market size (2020): $10M? (synthesis Applied DNA) Readout?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Advantages over Illumina: Cost of readout $10 versus $100+, speed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Advantages over qPCR: Detailed tracking information 1MB v 1 bit.</w:t>
      </w:r>
    </w:p>
    <w:p>
      <w:pPr>
        <w:pStyle w:val="Body"/>
        <w:bidi w:val="0"/>
      </w:pPr>
    </w:p>
    <w:p>
      <w:pPr>
        <w:pStyle w:val="Heading"/>
        <w:bidi w:val="0"/>
      </w:pPr>
      <w:r>
        <w:rPr>
          <w:rtl w:val="0"/>
        </w:rPr>
        <w:t>Education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Market size (2020): $100M? (Edvotek: $4M 2008)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Advantages over Illumina/ONT: Cost per run, speed.</w:t>
      </w:r>
    </w:p>
    <w:p>
      <w:pPr>
        <w:pStyle w:val="Body"/>
        <w:bidi w:val="0"/>
      </w:pPr>
    </w:p>
    <w:p>
      <w:pPr>
        <w:pStyle w:val="Heading"/>
        <w:bidi w:val="0"/>
      </w:pPr>
      <w:r>
        <w:rPr>
          <w:rtl w:val="0"/>
        </w:rPr>
        <w:t>Tools</w:t>
      </w:r>
    </w:p>
    <w:p>
      <w:pPr>
        <w:pStyle w:val="Body"/>
        <w:bidi w:val="0"/>
      </w:pPr>
    </w:p>
    <w:p>
      <w:pPr>
        <w:pStyle w:val="Heading 2"/>
        <w:bidi w:val="0"/>
      </w:pPr>
      <w:r>
        <w:rPr>
          <w:rtl w:val="0"/>
        </w:rPr>
        <w:t>Proteomics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Olink: $54.1M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Use as readout instead of qPCR for Olink.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Somalogic: $30M</w:t>
      </w:r>
    </w:p>
    <w:p>
      <w:pPr>
        <w:pStyle w:val="Body"/>
        <w:numPr>
          <w:ilvl w:val="0"/>
          <w:numId w:val="2"/>
        </w:numPr>
        <w:bidi w:val="0"/>
      </w:pPr>
      <w:r>
        <w:rPr>
          <w:rtl w:val="0"/>
        </w:rPr>
        <w:t>Replace ELISA: $</w:t>
      </w:r>
      <w:r>
        <w:rPr>
          <w:rtl w:val="0"/>
        </w:rPr>
        <w:t>475</w:t>
      </w:r>
      <w:r>
        <w:rPr>
          <w:rtl w:val="0"/>
        </w:rPr>
        <w:t>M (2020)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Bullet"/>
  </w:abstractNum>
  <w:abstractNum w:abstractNumId="1">
    <w:multiLevelType w:val="hybridMultilevel"/>
    <w:styleLink w:val="Bullet"/>
    <w:lvl w:ilvl="0">
      <w:start w:val="1"/>
      <w:numFmt w:val="bullet"/>
      <w:suff w:val="tab"/>
      <w:lvlText w:val="•"/>
      <w:lvlJc w:val="left"/>
      <w:pPr>
        <w:ind w:left="18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36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54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72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90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108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26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144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162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Title">
    <w:name w:val="Title"/>
    <w:next w:val="Body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60"/>
      <w:szCs w:val="60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numbering" w:styleId="Bullet">
    <w:name w:val="Bullet"/>
    <w:pPr>
      <w:numPr>
        <w:numId w:val="1"/>
      </w:numPr>
    </w:pPr>
  </w:style>
  <w:style w:type="paragraph" w:styleId="Heading">
    <w:name w:val="Heading"/>
    <w:next w:val="Body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0"/>
    </w:pPr>
    <w:rPr>
      <w:rFonts w:ascii="Helvetica Neue" w:cs="Arial Unicode MS" w:hAnsi="Helvetica Neue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6"/>
      <w:szCs w:val="36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 2">
    <w:name w:val="Heading 2"/>
    <w:next w:val="Body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1"/>
    </w:pPr>
    <w:rPr>
      <w:rFonts w:ascii="Helvetica Neue" w:cs="Arial Unicode MS" w:hAnsi="Helvetica Neue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2"/>
      <w:szCs w:val="32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